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BA08DC" w:rsidRDefault="00BA08DC">
      <w:pPr>
        <w:rPr>
          <w:sz w:val="48"/>
        </w:rPr>
      </w:pPr>
      <w:r w:rsidRPr="00BA08DC">
        <w:rPr>
          <w:sz w:val="48"/>
        </w:rPr>
        <w:t>Study Guide for Mini-term 8 (Retention 2)</w:t>
      </w:r>
    </w:p>
    <w:p w:rsidR="00BA08DC" w:rsidRDefault="00BA08DC"/>
    <w:p w:rsidR="00BA08DC" w:rsidRDefault="00BA08DC">
      <w:r>
        <w:t>Study the following concepts to prepare for this mini-term:</w:t>
      </w:r>
    </w:p>
    <w:p w:rsidR="00BA08DC" w:rsidRDefault="00BA08DC">
      <w:bookmarkStart w:id="0" w:name="_GoBack"/>
      <w:bookmarkEnd w:id="0"/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Niche marketing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Demographics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Strategic Business Plans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Segments of the SWOT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Psychographics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Consumer Goods Categories (Convenience, Shopping, Speciality)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 xml:space="preserve">Brand names, </w:t>
      </w:r>
      <w:proofErr w:type="spellStart"/>
      <w:r>
        <w:t>brandmarks</w:t>
      </w:r>
      <w:proofErr w:type="spellEnd"/>
      <w:r>
        <w:t>, patents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Product packaging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 w:rsidRPr="00BA08DC">
        <w:t>New Product Development Process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Push and Pull strategies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Creative strategy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Positioning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Press release</w:t>
      </w:r>
    </w:p>
    <w:p w:rsidR="00BA08DC" w:rsidRDefault="00BA08DC" w:rsidP="00BA08DC">
      <w:pPr>
        <w:pStyle w:val="ListParagraph"/>
        <w:numPr>
          <w:ilvl w:val="0"/>
          <w:numId w:val="1"/>
        </w:numPr>
      </w:pPr>
      <w:r>
        <w:t>Advantages and disadvantages of media</w:t>
      </w:r>
    </w:p>
    <w:p w:rsidR="00BA08DC" w:rsidRDefault="00BA08DC"/>
    <w:sectPr w:rsidR="00BA08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C5CB2"/>
    <w:multiLevelType w:val="hybridMultilevel"/>
    <w:tmpl w:val="A6FE0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DC"/>
    <w:rsid w:val="003E28F6"/>
    <w:rsid w:val="00B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FA357-A618-4629-9E6B-3518D9A8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2017-03-28T20:54:00Z</dcterms:created>
  <dcterms:modified xsi:type="dcterms:W3CDTF">2017-03-28T21:01:00Z</dcterms:modified>
</cp:coreProperties>
</file>